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Правовые основы управления рисками организации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28.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«Правовые основы управления рисками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«Правовые основы управления рисками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«Правовые основы управления рисками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законодательство Российской Федерации и отраслевые стандарты по управлению рисками,  требования к обеспечению сохранения коммерческой тайны, национальные и международные стандарты, лучшие практики по построению систем управления рисками, локальные нормативные акты по управлению рисками в организации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анализировать изменения корпоративной нормативной базы по вопросам управления рисками, использовать в профессиональной деятельности знания законодательства Российской Федерации и отраслевые стандарты по управлению рисками, требования к обеспечению сохранения коммерческой тайны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разрабатывать регламентирующие документы по управлению рисками, локальные нормативные акты, анализировать локальные нормативные акты по управлению рисками и вырабатывать рекомендации по их актуализации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разработки регламентов деятельности подразделения по управлению рисками и отдельных работников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анализа изменений корпоративной нормативной базы по вопросам управления рисками, использования в профессиональной деятельности знания законодательство Российской Федерации и отраслевые стандарты по управлению рисками, требования к обеспечению сохранения коммерческой тайны</w:t>
            </w:r>
          </w:p>
        </w:tc>
      </w:tr>
      <w:tr>
        <w:trPr>
          <w:trHeight w:hRule="exact" w:val="416.7464"/>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«Правовые основы управления рисками организации» относится к обязательной части, является дисциплиной Блока Б1. «Дисциплины (модули)».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 основной профессиональной образовательной программы высшего образования - магистратура по направлению подготовки 38.04.02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Аналитические методы и модели в экономике и управлении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Управленческая экономика: стратегический аспект</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Содержание предпринимательских правоотношений. Регламенты в управлении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Управления рисками организации при угрозе банкротства: правовые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Правовые основы управления инвестиционными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аспекты финансового риск- менеджмента в компаниях реального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 по 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Содержание предпринимательских правоотношений. Регламенты в управлении рисками организации Круглый стол «Управление рисками в системах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Управления рисками организации при угрозе банкротства: правовые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Правовые основы управления инвестиционными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аспекты финансового риск- менеджмента в компаниях реального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368.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Управление рисками в системах нормативного регулирования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системы управления рисками стандарты по управлению рисками 31000:2009 Международной организации по стандартизации (ИСО) Установление внешнего и внутреннего контекста, который характеризует «среду, в которой организация стремится к достижению поставленных целей». Управление рисками в области информационной безопасности: стандарта ИСО/МЭК 27001:2005 система управления информационной безопасностью (СУИБ). Отчет о глобальных рисках (GlobalRisksReport, ВЭФ). Инструменты, используемые для идентификации риска: стандарт  ИСО/МЭК31010:2009.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Содержание предпринимательских правоотношений. Регламенты в управлении рисками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предпринимательских правоотношений. Объекты предпринимательских отношений. Субъекты предпринимательских отношений. Разработка регламента как один из возможных результатов общего процесса управления рисками в систему регулирования. Классификация различных типов регламентов. Нормативное производство для эффективного смягчения рисков. Этапы нормативного производства. Ссылки на стандарты в законодательстве.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Управления рисками организации при угрозе банкротства: правовые основы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правового регулирования отношений, связанных с несостоятельностью (банкротством). Развитие института несостоятельности в России. Банкротство юридических лиц. Понятие, признаки, стадии, права кредиторов, правовые последствия. Субсидиарная ответственность менеджеров и собственников при банкротстве организации. Структура федерального закона от 26.10.2002 N 127-ФЗ «О несостоятельности (банкротстве)». Риски неплатежеспособности коммерческой организации. Алгоритм подачи документов в суд и последствия обращения.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Правовые основы управления инвестиционными рисками</w:t>
            </w:r>
          </w:p>
        </w:tc>
      </w:tr>
      <w:tr>
        <w:trPr>
          <w:trHeight w:hRule="exact" w:val="2864.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Юридическое и экономическое содержание категории инвестиции. Понятие и виды инвестиций. Объекты инвестиционной деятельности. Правовые формы инвестиционной деятельности. Проблемы отграничения правовых форм инвестиционной деятельности от смежных правовых институтов. Классификация инвестиций. Цели инвестиционного законодательства как основа для различных интерпретаций понятия «инвестиции». Система инвестиционного законодательства России. Общая характеристика правовых форм осуществления инвестиционной деятельности. Понятие инвестиционного договора. Признаки инвестиционного договора. Общая характеристика правовых форм осуществления инвестиционной деятельности. Виды инвестиционных договоров. Отдельные правовые формы осуществления инвестиционной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Заключение и исполнение соглашений о разделе продукции. Стороны соглашения, органы управления, изменение и прекращение соглашений о разделе продукции. Порядок заключения концессионных соглашений, права и обязанности концессионера и концедента.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Правовые аспекты финансового риск-менеджмента в компаниях реального сектора экономики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аспект страхования финансовых рисков. Производные финансовые инструменты на основе контрактов, их разновидности. Предприятия реального сектора экономики РФ на рынке производных инструментов: цели и задачи операций с деривативами. Хеджирование финансовых рисков при помощи форвардных, фьючерсных контрактов и опционных контрактов. Использование теории опционов для оценки рисковых инвестиций. Анализ рисков, связанных с использованием производных финансовых инструментов. Использование опционных контрактов с целью снижения рисков.</w:t>
            </w:r>
          </w:p>
          <w:p>
            <w:pPr>
              <w:jc w:val="both"/>
              <w:spacing w:after="0" w:line="240" w:lineRule="auto"/>
              <w:rPr>
                <w:sz w:val="24"/>
                <w:szCs w:val="24"/>
              </w:rPr>
            </w:pPr>
            <w:r>
              <w:rPr>
                <w:rFonts w:ascii="Times New Roman" w:hAnsi="Times New Roman" w:cs="Times New Roman"/>
                <w:color w:val="#000000"/>
                <w:sz w:val="24"/>
                <w:szCs w:val="24"/>
              </w:rPr>
              <w:t> Нормативные правовые акты, регулирующие осуществление кредитных операций и обеспечение кредитных обязательств. Нормативные правовые акты, регулирующие осуществление кредитных операций и обеспечение кредитных обязательств. Законодательные акты, международные стандарты управления рисками, внутренние регламенты компаний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Управление рисками в системах нормативного регулирования</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Риски бизнеса в реальном секторе экономики. Понятие управления рисками: стандарт 31000:2009 Международной организации по стандартизации (ИСО)</w:t>
            </w:r>
          </w:p>
          <w:p>
            <w:pPr>
              <w:jc w:val="left"/>
              <w:spacing w:after="0" w:line="240" w:lineRule="auto"/>
              <w:rPr>
                <w:sz w:val="24"/>
                <w:szCs w:val="24"/>
              </w:rPr>
            </w:pPr>
            <w:r>
              <w:rPr>
                <w:rFonts w:ascii="Times New Roman" w:hAnsi="Times New Roman" w:cs="Times New Roman"/>
                <w:color w:val="#000000"/>
                <w:sz w:val="24"/>
                <w:szCs w:val="24"/>
              </w:rPr>
              <w:t> 2. Основные разновидности факторов риска. Внешние факторы риска. Внутренние факторы риска</w:t>
            </w:r>
          </w:p>
          <w:p>
            <w:pPr>
              <w:jc w:val="left"/>
              <w:spacing w:after="0" w:line="240" w:lineRule="auto"/>
              <w:rPr>
                <w:sz w:val="24"/>
                <w:szCs w:val="24"/>
              </w:rPr>
            </w:pPr>
            <w:r>
              <w:rPr>
                <w:rFonts w:ascii="Times New Roman" w:hAnsi="Times New Roman" w:cs="Times New Roman"/>
                <w:color w:val="#000000"/>
                <w:sz w:val="24"/>
                <w:szCs w:val="24"/>
              </w:rPr>
              <w:t> 3 Особенности современной экономики и их влияние на стратегии развития бизнеса: стандарт по управлению рисками ИСО31000:2009</w:t>
            </w:r>
          </w:p>
          <w:p>
            <w:pPr>
              <w:jc w:val="left"/>
              <w:spacing w:after="0" w:line="240" w:lineRule="auto"/>
              <w:rPr>
                <w:sz w:val="24"/>
                <w:szCs w:val="24"/>
              </w:rPr>
            </w:pPr>
            <w:r>
              <w:rPr>
                <w:rFonts w:ascii="Times New Roman" w:hAnsi="Times New Roman" w:cs="Times New Roman"/>
                <w:color w:val="#000000"/>
                <w:sz w:val="24"/>
                <w:szCs w:val="24"/>
              </w:rPr>
              <w:t> 4. Управление рисками в области информационной безопасности: стандарта ИСО/МЭК 27001:2005 система управления информационной безопасностью (СУИБ)</w:t>
            </w:r>
          </w:p>
          <w:p>
            <w:pPr>
              <w:jc w:val="left"/>
              <w:spacing w:after="0" w:line="240" w:lineRule="auto"/>
              <w:rPr>
                <w:sz w:val="24"/>
                <w:szCs w:val="24"/>
              </w:rPr>
            </w:pPr>
            <w:r>
              <w:rPr>
                <w:rFonts w:ascii="Times New Roman" w:hAnsi="Times New Roman" w:cs="Times New Roman"/>
                <w:color w:val="#000000"/>
                <w:sz w:val="24"/>
                <w:szCs w:val="24"/>
              </w:rPr>
              <w:t> 5. Инструменты, используемые для идентификации риска и реализации других стадий процесса: стандарт  ИСО/МЭК31010:2009</w:t>
            </w:r>
          </w:p>
          <w:p>
            <w:pPr>
              <w:jc w:val="left"/>
              <w:spacing w:after="0" w:line="240" w:lineRule="auto"/>
              <w:rPr>
                <w:sz w:val="24"/>
                <w:szCs w:val="24"/>
              </w:rPr>
            </w:pPr>
            <w:r>
              <w:rPr>
                <w:rFonts w:ascii="Times New Roman" w:hAnsi="Times New Roman" w:cs="Times New Roman"/>
                <w:color w:val="#000000"/>
                <w:sz w:val="24"/>
                <w:szCs w:val="24"/>
              </w:rPr>
              <w:t> 6.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Содержание предпринимательских правоотношений. Регламенты в управлении рисками организации Круглый стол «Управление рисками в системах регулирования»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предпринимательских правоотношений. Объекты предпринимательских отношений. Субъекты предпринимательских отношений</w:t>
            </w:r>
          </w:p>
          <w:p>
            <w:pPr>
              <w:jc w:val="left"/>
              <w:spacing w:after="0" w:line="240" w:lineRule="auto"/>
              <w:rPr>
                <w:sz w:val="24"/>
                <w:szCs w:val="24"/>
              </w:rPr>
            </w:pPr>
            <w:r>
              <w:rPr>
                <w:rFonts w:ascii="Times New Roman" w:hAnsi="Times New Roman" w:cs="Times New Roman"/>
                <w:color w:val="#000000"/>
                <w:sz w:val="24"/>
                <w:szCs w:val="24"/>
              </w:rPr>
              <w:t> 2. Нормативное регулирование как инструмент смягчения риска.</w:t>
            </w:r>
          </w:p>
          <w:p>
            <w:pPr>
              <w:jc w:val="left"/>
              <w:spacing w:after="0" w:line="240" w:lineRule="auto"/>
              <w:rPr>
                <w:sz w:val="24"/>
                <w:szCs w:val="24"/>
              </w:rPr>
            </w:pPr>
            <w:r>
              <w:rPr>
                <w:rFonts w:ascii="Times New Roman" w:hAnsi="Times New Roman" w:cs="Times New Roman"/>
                <w:color w:val="#000000"/>
                <w:sz w:val="24"/>
                <w:szCs w:val="24"/>
              </w:rPr>
              <w:t> 3. Типы регламентов, используемые для смягчения рисков</w:t>
            </w:r>
          </w:p>
          <w:p>
            <w:pPr>
              <w:jc w:val="left"/>
              <w:spacing w:after="0" w:line="240" w:lineRule="auto"/>
              <w:rPr>
                <w:sz w:val="24"/>
                <w:szCs w:val="24"/>
              </w:rPr>
            </w:pPr>
            <w:r>
              <w:rPr>
                <w:rFonts w:ascii="Times New Roman" w:hAnsi="Times New Roman" w:cs="Times New Roman"/>
                <w:color w:val="#000000"/>
                <w:sz w:val="24"/>
                <w:szCs w:val="24"/>
              </w:rPr>
              <w:t> 4. Исходные данные в системе нормативного регулирования.</w:t>
            </w:r>
          </w:p>
          <w:p>
            <w:pPr>
              <w:jc w:val="left"/>
              <w:spacing w:after="0" w:line="240" w:lineRule="auto"/>
              <w:rPr>
                <w:sz w:val="24"/>
                <w:szCs w:val="24"/>
              </w:rPr>
            </w:pPr>
            <w:r>
              <w:rPr>
                <w:rFonts w:ascii="Times New Roman" w:hAnsi="Times New Roman" w:cs="Times New Roman"/>
                <w:color w:val="#000000"/>
                <w:sz w:val="24"/>
                <w:szCs w:val="24"/>
              </w:rPr>
              <w:t> 5. Рекомендация ЕЭК ООН по управлению рисками в системах регулирования (Рекомендация R)</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Управления рисками организации при угрозе банкротства: правовые основы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правового регулирования отношений, связанных с несостоятельностью (банкротством). Развитие института несостоятельности в России. Банкротство юридических лиц. Понятие, признаки, стадии, права кредиторов, правовые последствия. Субсидиарная ответственность менеджеров и собственников при банкротстве организации. Структура федерального закона от 26.10.2002 N 127-ФЗ «О несостоятельности (банкротстве)». Риски неплатежеспособности коммерческой организации. Алгоритм подачи документов в суд и последствия обращения.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Правовые основы управления инвестиционными рисками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Правовые формы инвестиционной деятельности.</w:t>
            </w:r>
          </w:p>
          <w:p>
            <w:pPr>
              <w:jc w:val="left"/>
              <w:spacing w:after="0" w:line="240" w:lineRule="auto"/>
              <w:rPr>
                <w:sz w:val="24"/>
                <w:szCs w:val="24"/>
              </w:rPr>
            </w:pPr>
            <w:r>
              <w:rPr>
                <w:rFonts w:ascii="Times New Roman" w:hAnsi="Times New Roman" w:cs="Times New Roman"/>
                <w:color w:val="#000000"/>
                <w:sz w:val="24"/>
                <w:szCs w:val="24"/>
              </w:rPr>
              <w:t> 2.	Управление рисками инвестиционного портфеля</w:t>
            </w:r>
          </w:p>
          <w:p>
            <w:pPr>
              <w:jc w:val="left"/>
              <w:spacing w:after="0" w:line="240" w:lineRule="auto"/>
              <w:rPr>
                <w:sz w:val="24"/>
                <w:szCs w:val="24"/>
              </w:rPr>
            </w:pPr>
            <w:r>
              <w:rPr>
                <w:rFonts w:ascii="Times New Roman" w:hAnsi="Times New Roman" w:cs="Times New Roman"/>
                <w:color w:val="#000000"/>
                <w:sz w:val="24"/>
                <w:szCs w:val="24"/>
              </w:rPr>
              <w:t> 3.	Управление финансовыми рисками инвестиционных проектов в форме капитальных вложений</w:t>
            </w:r>
          </w:p>
          <w:p>
            <w:pPr>
              <w:jc w:val="left"/>
              <w:spacing w:after="0" w:line="240" w:lineRule="auto"/>
              <w:rPr>
                <w:sz w:val="24"/>
                <w:szCs w:val="24"/>
              </w:rPr>
            </w:pPr>
            <w:r>
              <w:rPr>
                <w:rFonts w:ascii="Times New Roman" w:hAnsi="Times New Roman" w:cs="Times New Roman"/>
                <w:color w:val="#000000"/>
                <w:sz w:val="24"/>
                <w:szCs w:val="24"/>
              </w:rPr>
              <w:t> 4.	Система инвестиционного законодательства России</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правовых форм осуществления инвестиционной деятельности. Понятие инвестиционного договора.</w:t>
            </w:r>
          </w:p>
          <w:p>
            <w:pPr>
              <w:jc w:val="left"/>
              <w:spacing w:after="0" w:line="240" w:lineRule="auto"/>
              <w:rPr>
                <w:sz w:val="24"/>
                <w:szCs w:val="24"/>
              </w:rPr>
            </w:pPr>
            <w:r>
              <w:rPr>
                <w:rFonts w:ascii="Times New Roman" w:hAnsi="Times New Roman" w:cs="Times New Roman"/>
                <w:color w:val="#000000"/>
                <w:sz w:val="24"/>
                <w:szCs w:val="24"/>
              </w:rPr>
              <w:t> 6.	Правовое обеспечение деятельности по управлению рисками в РФ</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Правовые аспекты финансового риск-менеджмента в компаниях реального сектора экономики</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Построение системы управления финансовыми рисками на предприятии</w:t>
            </w:r>
          </w:p>
          <w:p>
            <w:pPr>
              <w:jc w:val="left"/>
              <w:spacing w:after="0" w:line="240" w:lineRule="auto"/>
              <w:rPr>
                <w:sz w:val="24"/>
                <w:szCs w:val="24"/>
              </w:rPr>
            </w:pPr>
            <w:r>
              <w:rPr>
                <w:rFonts w:ascii="Times New Roman" w:hAnsi="Times New Roman" w:cs="Times New Roman"/>
                <w:color w:val="#000000"/>
                <w:sz w:val="24"/>
                <w:szCs w:val="24"/>
              </w:rPr>
              <w:t> 2.	Управление кредитными и рыночными рисками предприятия: Гражданское законодательство Российской Федерации об ответственности за неисполнение условий договора. Типовые причины неисполнения условий кредитного договора и способы погашения просроченной задолженности</w:t>
            </w:r>
          </w:p>
          <w:p>
            <w:pPr>
              <w:jc w:val="left"/>
              <w:spacing w:after="0" w:line="240" w:lineRule="auto"/>
              <w:rPr>
                <w:sz w:val="24"/>
                <w:szCs w:val="24"/>
              </w:rPr>
            </w:pPr>
            <w:r>
              <w:rPr>
                <w:rFonts w:ascii="Times New Roman" w:hAnsi="Times New Roman" w:cs="Times New Roman"/>
                <w:color w:val="#000000"/>
                <w:sz w:val="24"/>
                <w:szCs w:val="24"/>
              </w:rPr>
              <w:t> 3.	Диверсификация, страхование, хеджирование финансовых рисков.</w:t>
            </w:r>
          </w:p>
          <w:p>
            <w:pPr>
              <w:jc w:val="left"/>
              <w:spacing w:after="0" w:line="240" w:lineRule="auto"/>
              <w:rPr>
                <w:sz w:val="24"/>
                <w:szCs w:val="24"/>
              </w:rPr>
            </w:pPr>
            <w:r>
              <w:rPr>
                <w:rFonts w:ascii="Times New Roman" w:hAnsi="Times New Roman" w:cs="Times New Roman"/>
                <w:color w:val="#000000"/>
                <w:sz w:val="24"/>
                <w:szCs w:val="24"/>
              </w:rPr>
              <w:t> 4.	Лимитирование, риск-аппетит и другие инструменты управления финансовыми рисками</w:t>
            </w:r>
          </w:p>
          <w:p>
            <w:pPr>
              <w:jc w:val="left"/>
              <w:spacing w:after="0" w:line="240" w:lineRule="auto"/>
              <w:rPr>
                <w:sz w:val="24"/>
                <w:szCs w:val="24"/>
              </w:rPr>
            </w:pPr>
            <w:r>
              <w:rPr>
                <w:rFonts w:ascii="Times New Roman" w:hAnsi="Times New Roman" w:cs="Times New Roman"/>
                <w:color w:val="#000000"/>
                <w:sz w:val="24"/>
                <w:szCs w:val="24"/>
              </w:rPr>
              <w:t> 5.	Секьюритизация и кредитные деривативы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«Правовые основы управления рисками организации»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Китая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Лаптева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https://urait.ru/bcode/444789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Перепелица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Южакова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Пещанская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https://urait.ru/bcode/433674</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https://urait.ru/bcode/433139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978-5-534-00945-3.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https://www.biblio-online.ru/bcode/433253</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предпринимательской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978-5-534-05462-0.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https://urait.ru/bcode/415879</w:t>
            </w:r>
            <w:r>
              <w:rPr/>
              <w:t xml:space="preserve"> </w:t>
            </w: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1.4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3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2024-2025_ФГОС3++2024_Маг-ОФО-Менеджмент(РМСиТПО)(24)_plx_Правовые основы управления рисками организации</dc:title>
  <dc:creator>FastReport.NET</dc:creator>
</cp:coreProperties>
</file>